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F8779A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F8779A">
        <w:rPr>
          <w:rFonts w:ascii="Times New Roman" w:hAnsi="Times New Roman"/>
          <w:b w:val="0"/>
          <w:bCs w:val="0"/>
          <w:sz w:val="24"/>
        </w:rPr>
        <w:t>на в</w:t>
      </w:r>
      <w:r w:rsidR="00F8779A" w:rsidRPr="00F8779A">
        <w:rPr>
          <w:rFonts w:ascii="Times New Roman" w:hAnsi="Times New Roman"/>
          <w:b w:val="0"/>
          <w:bCs w:val="0"/>
          <w:sz w:val="24"/>
        </w:rPr>
        <w:t xml:space="preserve">ыполнение работ по мониторингу состояния недр и сопредельных сред в пределах Абракупчинского, Куюмбинского и Терско-Камовского </w:t>
      </w:r>
      <w:r w:rsidR="00F8779A">
        <w:rPr>
          <w:rFonts w:ascii="Times New Roman" w:hAnsi="Times New Roman"/>
          <w:b w:val="0"/>
          <w:bCs w:val="0"/>
          <w:sz w:val="24"/>
        </w:rPr>
        <w:t>лицензионных участков в 2016 г.</w:t>
      </w:r>
      <w:r w:rsidR="00F3620A" w:rsidRPr="00F3620A">
        <w:rPr>
          <w:rFonts w:ascii="Times New Roman" w:hAnsi="Times New Roman"/>
          <w:b w:val="0"/>
          <w:bCs w:val="0"/>
          <w:sz w:val="24"/>
        </w:rPr>
        <w:t xml:space="preserve"> 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522"/>
      </w:tblGrid>
      <w:tr w:rsidR="002C3BF4" w:rsidRPr="001B6366" w:rsidTr="00F3620A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522" w:type="dxa"/>
          </w:tcPr>
          <w:p w:rsidR="00F8779A" w:rsidRPr="00F8779A" w:rsidRDefault="00F8779A" w:rsidP="00F877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F8779A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«Выполнение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</w:t>
            </w:r>
          </w:p>
          <w:p w:rsidR="002C3BF4" w:rsidRPr="00F8779A" w:rsidRDefault="00F8779A" w:rsidP="00F877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F8779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КНГ/5.3-2016.</w:t>
            </w: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</w:tcPr>
          <w:p w:rsidR="002C3BF4" w:rsidRPr="001B6366" w:rsidRDefault="002C3BF4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5522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F3620A">
        <w:trPr>
          <w:trHeight w:val="283"/>
        </w:trPr>
        <w:tc>
          <w:tcPr>
            <w:tcW w:w="9634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F3620A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522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F3620A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1097" w:rsidRPr="00041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оплаты – </w:t>
            </w:r>
            <w:r w:rsidR="00F8779A" w:rsidRPr="00F8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Заказчиком на основании Акта сдачи-приемки работ, подписанного полномочными представителями сторон, и оригинала счета-фактуры в течение не менее 60 календарных дней после их сдачи Заказчику путем перечисления денежных средств с расчетного счета Заказчика на расчетный счет Исполнителя.</w:t>
            </w:r>
          </w:p>
        </w:tc>
        <w:tc>
          <w:tcPr>
            <w:tcW w:w="5522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F3620A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522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F3620A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522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F3620A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522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F3620A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5522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041097" w:rsidRPr="00041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87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3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</w:t>
      </w:r>
      <w:r w:rsidR="00F87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F36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41097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  <w:rsid w:val="00F3620A"/>
    <w:rsid w:val="00F8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24</cp:revision>
  <cp:lastPrinted>2015-08-19T04:25:00Z</cp:lastPrinted>
  <dcterms:created xsi:type="dcterms:W3CDTF">2014-09-11T02:22:00Z</dcterms:created>
  <dcterms:modified xsi:type="dcterms:W3CDTF">2016-05-04T09:21:00Z</dcterms:modified>
</cp:coreProperties>
</file>